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FA" w:rsidRPr="00432B8C" w:rsidRDefault="00BE3FFA" w:rsidP="00BE3FFA">
      <w:pPr>
        <w:rPr>
          <w:b/>
        </w:rPr>
      </w:pPr>
      <w:r w:rsidRPr="00432B8C">
        <w:rPr>
          <w:b/>
        </w:rPr>
        <w:t>Gloucester Lyceum and Sawyer Free Library</w:t>
      </w:r>
    </w:p>
    <w:p w:rsidR="00BE3FFA" w:rsidRPr="00432B8C" w:rsidRDefault="00BE3FFA" w:rsidP="00BE3FFA">
      <w:pPr>
        <w:rPr>
          <w:b/>
        </w:rPr>
      </w:pPr>
      <w:r w:rsidRPr="00432B8C">
        <w:rPr>
          <w:b/>
        </w:rPr>
        <w:t>Strategic Plan FY2020 – FY2024</w:t>
      </w:r>
    </w:p>
    <w:p w:rsidR="00C74B75" w:rsidRDefault="00C74B75">
      <w:pPr>
        <w:rPr>
          <w:b/>
        </w:rPr>
      </w:pPr>
      <w:r w:rsidRPr="00432B8C">
        <w:rPr>
          <w:b/>
        </w:rPr>
        <w:t>Executive Summary</w:t>
      </w:r>
    </w:p>
    <w:p w:rsidR="00C753B0" w:rsidRDefault="00C753B0" w:rsidP="00182011">
      <w:r w:rsidRPr="00822EAE">
        <w:t>Universally, participants</w:t>
      </w:r>
      <w:r w:rsidR="00B643E6">
        <w:t xml:space="preserve"> in this strategic planning process </w:t>
      </w:r>
      <w:r w:rsidRPr="00822EAE">
        <w:t>were passionate about Gloucester, lovingly describing its quirky character, community ties, quality of life and especially</w:t>
      </w:r>
      <w:r>
        <w:t xml:space="preserve"> the</w:t>
      </w:r>
      <w:r w:rsidRPr="00822EAE">
        <w:t xml:space="preserve"> abundance of natural amenit</w:t>
      </w:r>
      <w:r w:rsidR="00BB62F4">
        <w:t xml:space="preserve">ies and scenic beauty. They </w:t>
      </w:r>
      <w:r w:rsidRPr="00822EAE">
        <w:t>had a very strong sense of belonging, only desiring to increase their connections to place and people through more venues and vehicles to participate in community.</w:t>
      </w:r>
      <w:r w:rsidR="00182011" w:rsidRPr="00182011">
        <w:t xml:space="preserve"> </w:t>
      </w:r>
    </w:p>
    <w:p w:rsidR="00BB62F4" w:rsidRDefault="00182011" w:rsidP="00BB62F4">
      <w:pPr>
        <w:pStyle w:val="NoSpacing"/>
      </w:pPr>
      <w:r>
        <w:t>Participants were very supportive and enthusiastic about the library and held positive views for the vital role it plays in the community. It was described in various thematic</w:t>
      </w:r>
      <w:r w:rsidR="00BB62F4">
        <w:t xml:space="preserve"> terms as a “Secular Sanctuary,”</w:t>
      </w:r>
      <w:r>
        <w:t xml:space="preserve"> an “equalizer: free – belonging to no </w:t>
      </w:r>
      <w:r w:rsidRPr="00822EAE">
        <w:rPr>
          <w:i/>
        </w:rPr>
        <w:t>one</w:t>
      </w:r>
      <w:r>
        <w:t xml:space="preserve"> group,” a “community center: connecting Gloucester to itself,” an “access point to the world” of knowledge. They also shared aspirational desires for a library that was spacious, welcoming, comfortable, and inviting; respecting the past while meeting the technological and informational demands of an evolving community. </w:t>
      </w:r>
      <w:r w:rsidR="00BB62F4">
        <w:t xml:space="preserve">People want a library that reflects </w:t>
      </w:r>
      <w:r w:rsidR="001226D1">
        <w:t xml:space="preserve">themselves and </w:t>
      </w:r>
      <w:r w:rsidR="00BB62F4">
        <w:t xml:space="preserve">their community values. </w:t>
      </w:r>
    </w:p>
    <w:p w:rsidR="00182011" w:rsidRDefault="00182011" w:rsidP="00182011">
      <w:pPr>
        <w:spacing w:after="0" w:line="240" w:lineRule="auto"/>
      </w:pPr>
    </w:p>
    <w:p w:rsidR="00182011" w:rsidRDefault="00182011" w:rsidP="00182011">
      <w:pPr>
        <w:pStyle w:val="NoSpacing"/>
      </w:pPr>
      <w:r>
        <w:t xml:space="preserve">In the final analysis, the attributes of Place, Belonging and Connection are foundational values and desires of the Gloucester community. And Community is paramount. </w:t>
      </w:r>
      <w:r w:rsidR="003450FA">
        <w:t>P</w:t>
      </w:r>
      <w:r>
        <w:t xml:space="preserve">eople care deeply about their community, history and institutions, and they are hopeful for a future in which diversity is embraced, children are safe and educated, and adults have opportunities to sustain both home and work lives. As a civic, egalitarian space, the library is a hub of their intellectual and communal lives. It is the community’s center for connection, access, and learning. </w:t>
      </w:r>
    </w:p>
    <w:p w:rsidR="00182011" w:rsidRDefault="00182011" w:rsidP="00182011">
      <w:pPr>
        <w:pStyle w:val="NoSpacing"/>
      </w:pPr>
    </w:p>
    <w:p w:rsidR="00AF7A7E" w:rsidRPr="00432B8C" w:rsidRDefault="00AF7A7E" w:rsidP="00AF7A7E">
      <w:pPr>
        <w:rPr>
          <w:b/>
        </w:rPr>
      </w:pPr>
      <w:r w:rsidRPr="00432B8C">
        <w:rPr>
          <w:b/>
        </w:rPr>
        <w:t>Gloucester Lyceum and Sawyer Free Library</w:t>
      </w:r>
    </w:p>
    <w:p w:rsidR="00D5763B" w:rsidRPr="00432B8C" w:rsidRDefault="00D5763B" w:rsidP="00D5763B">
      <w:pPr>
        <w:rPr>
          <w:b/>
        </w:rPr>
      </w:pPr>
      <w:r w:rsidRPr="00432B8C">
        <w:rPr>
          <w:b/>
        </w:rPr>
        <w:t>Strategic Plan FY2020 – FY2024</w:t>
      </w:r>
    </w:p>
    <w:p w:rsidR="00D5763B" w:rsidRPr="00D5763B" w:rsidRDefault="00D5763B" w:rsidP="00D5763B">
      <w:pPr>
        <w:rPr>
          <w:b/>
        </w:rPr>
      </w:pPr>
      <w:r w:rsidRPr="00D5763B">
        <w:rPr>
          <w:b/>
        </w:rPr>
        <w:t>Vision</w:t>
      </w:r>
    </w:p>
    <w:p w:rsidR="00D5763B" w:rsidRPr="00D5763B" w:rsidRDefault="00D5763B" w:rsidP="00D5763B">
      <w:pPr>
        <w:rPr>
          <w:b/>
        </w:rPr>
      </w:pPr>
      <w:r w:rsidRPr="00D5763B">
        <w:t xml:space="preserve">To </w:t>
      </w:r>
      <w:r w:rsidR="005326F1">
        <w:t>foster the values of place, belonging, and connection in the Gloucester community.</w:t>
      </w:r>
      <w:r w:rsidRPr="00D5763B">
        <w:t xml:space="preserve"> </w:t>
      </w:r>
    </w:p>
    <w:p w:rsidR="005326F1" w:rsidRDefault="00D5763B" w:rsidP="005326F1">
      <w:pPr>
        <w:rPr>
          <w:b/>
        </w:rPr>
      </w:pPr>
      <w:r w:rsidRPr="00D5763B">
        <w:rPr>
          <w:b/>
        </w:rPr>
        <w:t>Mission</w:t>
      </w:r>
    </w:p>
    <w:p w:rsidR="00D5763B" w:rsidRPr="005326F1" w:rsidRDefault="00D5763B" w:rsidP="005326F1">
      <w:pPr>
        <w:rPr>
          <w:b/>
        </w:rPr>
      </w:pPr>
      <w:r w:rsidRPr="00D5763B">
        <w:t xml:space="preserve">To be a </w:t>
      </w:r>
      <w:r w:rsidR="005326F1">
        <w:t>place</w:t>
      </w:r>
      <w:r w:rsidRPr="00D5763B">
        <w:t xml:space="preserve"> of learning</w:t>
      </w:r>
      <w:r w:rsidR="005326F1">
        <w:t>, innovation, and creativity, t</w:t>
      </w:r>
      <w:r w:rsidRPr="00D5763B">
        <w:t>o nurture and strengthen the community</w:t>
      </w:r>
      <w:r w:rsidR="005326F1">
        <w:t>.</w:t>
      </w:r>
    </w:p>
    <w:p w:rsidR="00D5763B" w:rsidRPr="00D5763B" w:rsidRDefault="00D5763B" w:rsidP="00D5763B">
      <w:pPr>
        <w:rPr>
          <w:b/>
        </w:rPr>
      </w:pPr>
      <w:r w:rsidRPr="00D5763B">
        <w:rPr>
          <w:b/>
        </w:rPr>
        <w:t>Goals</w:t>
      </w:r>
    </w:p>
    <w:p w:rsidR="00D5763B" w:rsidRPr="00D5763B" w:rsidRDefault="00D5763B" w:rsidP="000D616B">
      <w:pPr>
        <w:numPr>
          <w:ilvl w:val="0"/>
          <w:numId w:val="25"/>
        </w:numPr>
        <w:contextualSpacing/>
      </w:pPr>
      <w:r w:rsidRPr="00D5763B">
        <w:t xml:space="preserve">Align library assets </w:t>
      </w:r>
      <w:r w:rsidR="00F92C2D">
        <w:t>to inspire learning, drive development, grow social capital</w:t>
      </w:r>
      <w:r w:rsidR="00BB62F4">
        <w:t>,</w:t>
      </w:r>
      <w:r w:rsidR="00F92C2D">
        <w:t xml:space="preserve"> and create opportunities.</w:t>
      </w:r>
    </w:p>
    <w:p w:rsidR="00D5763B" w:rsidRPr="00D5763B" w:rsidRDefault="00D5763B" w:rsidP="000D616B">
      <w:pPr>
        <w:numPr>
          <w:ilvl w:val="0"/>
          <w:numId w:val="25"/>
        </w:numPr>
        <w:contextualSpacing/>
      </w:pPr>
      <w:r w:rsidRPr="00D5763B">
        <w:t>Provide access to content</w:t>
      </w:r>
      <w:r w:rsidR="00BB62F4">
        <w:t>.</w:t>
      </w:r>
    </w:p>
    <w:p w:rsidR="00D5763B" w:rsidRPr="00D5763B" w:rsidRDefault="00D5763B" w:rsidP="000D616B">
      <w:pPr>
        <w:numPr>
          <w:ilvl w:val="0"/>
          <w:numId w:val="25"/>
        </w:numPr>
        <w:contextualSpacing/>
      </w:pPr>
      <w:r w:rsidRPr="00D5763B">
        <w:t>Ensure the long-term sustainability of the public library</w:t>
      </w:r>
      <w:r w:rsidR="00BB62F4">
        <w:t>.</w:t>
      </w:r>
    </w:p>
    <w:p w:rsidR="00D5763B" w:rsidRDefault="00D5763B" w:rsidP="00833251">
      <w:pPr>
        <w:numPr>
          <w:ilvl w:val="0"/>
          <w:numId w:val="25"/>
        </w:numPr>
        <w:ind w:left="1440"/>
        <w:contextualSpacing/>
      </w:pPr>
      <w:r w:rsidRPr="00D5763B">
        <w:t>Cultivate leadership</w:t>
      </w:r>
      <w:r w:rsidR="00BB62F4">
        <w:t>.</w:t>
      </w:r>
    </w:p>
    <w:p w:rsidR="00AF7A7E" w:rsidRDefault="00AF7A7E">
      <w:pPr>
        <w:rPr>
          <w:b/>
        </w:rPr>
      </w:pPr>
    </w:p>
    <w:p w:rsidR="00AF7A7E" w:rsidRDefault="00AF7A7E">
      <w:pPr>
        <w:rPr>
          <w:b/>
        </w:rPr>
      </w:pPr>
    </w:p>
    <w:p w:rsidR="00AF7A7E" w:rsidRDefault="00AF7A7E">
      <w:pPr>
        <w:rPr>
          <w:b/>
        </w:rPr>
      </w:pPr>
    </w:p>
    <w:p w:rsidR="00AF7A7E" w:rsidRDefault="00AF7A7E">
      <w:pPr>
        <w:rPr>
          <w:b/>
        </w:rPr>
      </w:pPr>
      <w:r>
        <w:rPr>
          <w:b/>
        </w:rPr>
        <w:t>Approved by the Board of Trustees on September 25, 2018</w:t>
      </w:r>
    </w:p>
    <w:p w:rsidR="00C74B75" w:rsidRPr="00432B8C" w:rsidRDefault="007B6ECF">
      <w:pPr>
        <w:rPr>
          <w:b/>
        </w:rPr>
      </w:pPr>
      <w:r>
        <w:rPr>
          <w:b/>
        </w:rPr>
        <w:lastRenderedPageBreak/>
        <w:t>About This Plan</w:t>
      </w:r>
    </w:p>
    <w:p w:rsidR="00C74B75" w:rsidRDefault="00432B8C" w:rsidP="00C74B75">
      <w:r>
        <w:t>A</w:t>
      </w:r>
      <w:r w:rsidR="00C74B75">
        <w:t xml:space="preserve"> unique approach to strategic planning</w:t>
      </w:r>
      <w:r>
        <w:t xml:space="preserve"> for a public library was devised </w:t>
      </w:r>
      <w:r w:rsidR="00132FB6">
        <w:t>to achieve the best result possible</w:t>
      </w:r>
      <w:r w:rsidR="000D616B">
        <w:t xml:space="preserve">. </w:t>
      </w:r>
      <w:r w:rsidR="00C74B75">
        <w:t>There were three separate, distinct groups directing the process to create a 360</w:t>
      </w:r>
      <w:r>
        <w:rPr>
          <w:rFonts w:cstheme="minorHAnsi"/>
        </w:rPr>
        <w:t>°</w:t>
      </w:r>
      <w:r w:rsidR="00C74B75">
        <w:t xml:space="preserve"> view of the community about what </w:t>
      </w:r>
      <w:r w:rsidR="000D616B">
        <w:t xml:space="preserve">matters, is valued and needed. </w:t>
      </w:r>
      <w:r w:rsidR="00C74B75">
        <w:t>From</w:t>
      </w:r>
      <w:r w:rsidR="005326F1">
        <w:t xml:space="preserve"> this comprehensive view, the </w:t>
      </w:r>
      <w:r w:rsidR="00C74B75">
        <w:t>strategic direction an</w:t>
      </w:r>
      <w:r w:rsidR="005326F1">
        <w:t xml:space="preserve">d </w:t>
      </w:r>
      <w:r w:rsidR="00C74B75">
        <w:t>the role of the li</w:t>
      </w:r>
      <w:r>
        <w:t>brary in Gloucester’s future</w:t>
      </w:r>
      <w:r w:rsidR="005326F1">
        <w:t xml:space="preserve"> emerged</w:t>
      </w:r>
      <w:r>
        <w:t xml:space="preserve">.  </w:t>
      </w:r>
    </w:p>
    <w:p w:rsidR="00755824" w:rsidRPr="00755824" w:rsidRDefault="00C74B75" w:rsidP="00755824">
      <w:r>
        <w:t>The goal for the Community Strate</w:t>
      </w:r>
      <w:r w:rsidR="00755824">
        <w:t>gic Planning Committee (CSP</w:t>
      </w:r>
      <w:r w:rsidR="00432B8C">
        <w:t>C) wa</w:t>
      </w:r>
      <w:r>
        <w:t xml:space="preserve">s to engage as many of members of the Gloucester community as possible and </w:t>
      </w:r>
      <w:r w:rsidR="00132FB6">
        <w:t>to listen to them</w:t>
      </w:r>
      <w:r w:rsidR="00432B8C">
        <w:t xml:space="preserve">. </w:t>
      </w:r>
      <w:r w:rsidR="00755824" w:rsidRPr="00755824">
        <w:t>The Community Strategic Planning initiative invited the Gloucester Community to provide insight and input for the Gloucester Lyceu</w:t>
      </w:r>
      <w:r w:rsidR="005326F1">
        <w:t>m and Sawyer Free Library’s 2020</w:t>
      </w:r>
      <w:r w:rsidR="00755824" w:rsidRPr="00755824">
        <w:t xml:space="preserve">-2024 Strategic Plan. </w:t>
      </w:r>
      <w:r w:rsidR="00164984">
        <w:t>The</w:t>
      </w:r>
      <w:r w:rsidR="00755824" w:rsidRPr="00755824">
        <w:t xml:space="preserve"> </w:t>
      </w:r>
      <w:r w:rsidR="00755824">
        <w:t>Library</w:t>
      </w:r>
      <w:r w:rsidR="00755824" w:rsidRPr="00755824">
        <w:t xml:space="preserve"> Director, asked the </w:t>
      </w:r>
      <w:r w:rsidR="00755824">
        <w:t>CSPC</w:t>
      </w:r>
      <w:r w:rsidR="00755824" w:rsidRPr="00755824">
        <w:t xml:space="preserve"> to “think beyond the usual” and employ an appreciative, open-inquiry approach to engage a representative sample of the population for feedback about the values, sense of connection and desires that motivate the community and, from this data, extrapolate recommendations for the library to innovate and evolve to become a hub for community, connection, access and learning in the heart of Gloucester.</w:t>
      </w:r>
    </w:p>
    <w:p w:rsidR="00755824" w:rsidRDefault="00164984" w:rsidP="00755824">
      <w:r>
        <w:t>CSPC</w:t>
      </w:r>
      <w:r w:rsidR="00755824" w:rsidRPr="00755824">
        <w:t xml:space="preserve"> formulated and developed an effective and extensive outreach campaign, branded </w:t>
      </w:r>
      <w:proofErr w:type="spellStart"/>
      <w:r w:rsidR="00755824" w:rsidRPr="00755824">
        <w:t>thinkGloucester</w:t>
      </w:r>
      <w:proofErr w:type="spellEnd"/>
      <w:r w:rsidR="00755824" w:rsidRPr="00755824">
        <w:t>, to build awareness and engage community participation through a range of market research methods. It devised three primary research questions that synthesize to: 1) What residents’ value about Gloucester</w:t>
      </w:r>
      <w:r w:rsidR="00755824" w:rsidRPr="00755824">
        <w:rPr>
          <w:bCs/>
        </w:rPr>
        <w:t xml:space="preserve">; 2) What they envision for its future; and 3) How the library might sustain these aspirations. </w:t>
      </w:r>
      <w:r w:rsidR="00755824">
        <w:t xml:space="preserve">A survey </w:t>
      </w:r>
      <w:r>
        <w:t xml:space="preserve">was </w:t>
      </w:r>
      <w:r w:rsidR="00755824">
        <w:t>designed, launched, and tabulated, focus groups were facilitated by Gloucester Conversations, Wellspring House, and Committee members, and interviews were conducted</w:t>
      </w:r>
      <w:r>
        <w:t xml:space="preserve"> resulting in over 700 participants</w:t>
      </w:r>
      <w:r w:rsidR="00755824">
        <w:t xml:space="preserve">.  </w:t>
      </w:r>
    </w:p>
    <w:p w:rsidR="00164984" w:rsidRDefault="00C74B75" w:rsidP="00C74B75">
      <w:r>
        <w:t xml:space="preserve">The </w:t>
      </w:r>
      <w:r w:rsidR="00432B8C">
        <w:t>goal for the Board of Trustees wa</w:t>
      </w:r>
      <w:r>
        <w:t>s a thought-provoking process to deepen the relationship between members of the Board of Trustees and connect with</w:t>
      </w:r>
      <w:r w:rsidR="00164984">
        <w:t xml:space="preserve"> our shared purpose and values. </w:t>
      </w:r>
      <w:r w:rsidR="005326F1">
        <w:t>The Board</w:t>
      </w:r>
      <w:r w:rsidR="00164984">
        <w:t xml:space="preserve"> clarified </w:t>
      </w:r>
      <w:r w:rsidR="005326F1">
        <w:t>their</w:t>
      </w:r>
      <w:r w:rsidR="00164984">
        <w:t xml:space="preserve"> personal values; identified the values of the library; drafted a vision, mission, and goals for the Board; and developed a set of attributes to be used to recruit </w:t>
      </w:r>
      <w:r w:rsidR="00C23AB8">
        <w:t xml:space="preserve">new </w:t>
      </w:r>
      <w:r w:rsidR="00164984">
        <w:t>library trustees.</w:t>
      </w:r>
    </w:p>
    <w:p w:rsidR="00432B8C" w:rsidRPr="00D5763B" w:rsidRDefault="00164984" w:rsidP="00432B8C">
      <w:r>
        <w:t xml:space="preserve">The </w:t>
      </w:r>
      <w:r w:rsidR="00432B8C">
        <w:t xml:space="preserve">Assistant </w:t>
      </w:r>
      <w:r>
        <w:t>Library Director</w:t>
      </w:r>
      <w:r w:rsidR="00432B8C">
        <w:t xml:space="preserve"> led </w:t>
      </w:r>
      <w:r w:rsidR="005326F1">
        <w:t>a</w:t>
      </w:r>
      <w:r w:rsidR="00C74B75">
        <w:t xml:space="preserve"> staff working group in a process of research about the community</w:t>
      </w:r>
      <w:r w:rsidR="00C23AB8">
        <w:t xml:space="preserve"> – demographics, assets, and trends</w:t>
      </w:r>
      <w:r w:rsidR="00C74B75">
        <w:t xml:space="preserve"> a</w:t>
      </w:r>
      <w:r w:rsidR="00432B8C">
        <w:t xml:space="preserve">nd the </w:t>
      </w:r>
      <w:r w:rsidR="00C23AB8">
        <w:t xml:space="preserve">trends in the </w:t>
      </w:r>
      <w:r w:rsidR="00432B8C">
        <w:t>library profession as a means o</w:t>
      </w:r>
      <w:r w:rsidR="00C74B75">
        <w:t>f understanding</w:t>
      </w:r>
      <w:r w:rsidR="00432B8C">
        <w:t xml:space="preserve"> </w:t>
      </w:r>
      <w:r w:rsidR="00C74B75">
        <w:t xml:space="preserve">the community </w:t>
      </w:r>
      <w:r w:rsidR="00C23AB8">
        <w:t>and its needs and developing a new service model for the library</w:t>
      </w:r>
      <w:r w:rsidR="000D616B">
        <w:t>.</w:t>
      </w:r>
      <w:r w:rsidR="00432B8C">
        <w:t xml:space="preserve"> The entire staff</w:t>
      </w:r>
      <w:r w:rsidR="00C74B75">
        <w:t xml:space="preserve"> engaged in </w:t>
      </w:r>
      <w:r w:rsidR="005326F1">
        <w:t xml:space="preserve">a </w:t>
      </w:r>
      <w:r w:rsidR="00C74B75">
        <w:t>SOAR (Strengths, Opportunities, Aspirations, Results) ex</w:t>
      </w:r>
      <w:r w:rsidR="00D5763B">
        <w:t>ercise as part of this process.</w:t>
      </w:r>
      <w:r w:rsidR="00432B8C" w:rsidRPr="0001379D">
        <w:rPr>
          <w:color w:val="C00000"/>
        </w:rPr>
        <w:tab/>
      </w:r>
    </w:p>
    <w:p w:rsidR="00BB62F4" w:rsidRDefault="00BB62F4">
      <w:pPr>
        <w:rPr>
          <w:b/>
        </w:rPr>
      </w:pPr>
      <w:r>
        <w:rPr>
          <w:b/>
        </w:rPr>
        <w:br w:type="page"/>
      </w:r>
    </w:p>
    <w:p w:rsidR="00AC3A96" w:rsidRDefault="00AC3A96" w:rsidP="00C74B75">
      <w:pPr>
        <w:rPr>
          <w:b/>
        </w:rPr>
      </w:pPr>
      <w:r>
        <w:rPr>
          <w:b/>
        </w:rPr>
        <w:lastRenderedPageBreak/>
        <w:t>Gloucester</w:t>
      </w:r>
      <w:r w:rsidR="00E96544">
        <w:rPr>
          <w:b/>
        </w:rPr>
        <w:t>’s Story</w:t>
      </w:r>
    </w:p>
    <w:p w:rsidR="0018159B" w:rsidRDefault="0052159D" w:rsidP="0052159D">
      <w:r>
        <w:t>Gloucester’s p</w:t>
      </w:r>
      <w:r w:rsidR="00E964D3">
        <w:t>roximity to the ocean, significant open space, and rich historic and artistic ins</w:t>
      </w:r>
      <w:r w:rsidR="000D616B">
        <w:t>titutions are important assets. T</w:t>
      </w:r>
      <w:r>
        <w:t xml:space="preserve">here is a collective a sense of nostalgia for </w:t>
      </w:r>
      <w:proofErr w:type="gramStart"/>
      <w:r>
        <w:t>the ”ideal</w:t>
      </w:r>
      <w:proofErr w:type="gramEnd"/>
      <w:r>
        <w:t xml:space="preserve">” past. However, </w:t>
      </w:r>
      <w:r w:rsidR="00927D02">
        <w:t>the community is changing</w:t>
      </w:r>
      <w:r w:rsidR="00C209D2">
        <w:t xml:space="preserve"> </w:t>
      </w:r>
      <w:r w:rsidR="00D113C9">
        <w:t xml:space="preserve">in many significant ways.  </w:t>
      </w:r>
    </w:p>
    <w:p w:rsidR="0018159B" w:rsidRDefault="0018159B" w:rsidP="00815774">
      <w:r>
        <w:t>In general, the population is</w:t>
      </w:r>
      <w:r w:rsidR="00815774">
        <w:t xml:space="preserve"> white, English-speaking, declining, and</w:t>
      </w:r>
      <w:r>
        <w:t xml:space="preserve"> aging.</w:t>
      </w:r>
      <w:r w:rsidR="00815774">
        <w:t xml:space="preserve"> The school-age population is diminishing. Persons over 65 now account for more th</w:t>
      </w:r>
      <w:r w:rsidR="000D616B">
        <w:t>an</w:t>
      </w:r>
      <w:r w:rsidR="00815774">
        <w:t xml:space="preserve"> one-sixth of the total, well above the state average.  Gloucester is projected to lose 15.76% of its population over</w:t>
      </w:r>
      <w:r w:rsidR="00461CDE">
        <w:t xml:space="preserve"> the next</w:t>
      </w:r>
      <w:r w:rsidR="00815774">
        <w:t xml:space="preserve"> twenty years.</w:t>
      </w:r>
      <w:r w:rsidR="00D113C9">
        <w:t xml:space="preserve"> </w:t>
      </w:r>
      <w:r w:rsidR="00815774">
        <w:t>New immigrants, a small, but fast-growing minority, are contributing to an already culturally diverse city.</w:t>
      </w:r>
    </w:p>
    <w:p w:rsidR="009D4718" w:rsidRDefault="0018159B" w:rsidP="0018159B">
      <w:r>
        <w:t xml:space="preserve">Gloucester is considered a Gateway City - targeted for increased state investment because of below average incomes and adult education levels. </w:t>
      </w:r>
      <w:r w:rsidR="00815774">
        <w:t xml:space="preserve">The median household income in Gloucester is $61,505, significantly below the state medium of $68,563 and the Essex County average of $69,068. Wealth is situated </w:t>
      </w:r>
      <w:r w:rsidR="009D4718">
        <w:t>disproportionally</w:t>
      </w:r>
      <w:r w:rsidR="00815774">
        <w:t xml:space="preserve"> in </w:t>
      </w:r>
      <w:r w:rsidR="00461CDE">
        <w:t xml:space="preserve">the neighborhoods of </w:t>
      </w:r>
      <w:r w:rsidR="00815774">
        <w:t xml:space="preserve">Lanesville, Magnolia, </w:t>
      </w:r>
      <w:proofErr w:type="spellStart"/>
      <w:r w:rsidR="000D616B">
        <w:t>Annisquam</w:t>
      </w:r>
      <w:proofErr w:type="spellEnd"/>
      <w:r w:rsidR="000D616B">
        <w:t xml:space="preserve">, </w:t>
      </w:r>
      <w:r w:rsidR="00815774">
        <w:t>and East Gloucester. Each have approximately twice the average household income of Downtown Gloucester.</w:t>
      </w:r>
      <w:r w:rsidR="000D616B">
        <w:t xml:space="preserve"> Ten percent (10%)</w:t>
      </w:r>
      <w:r w:rsidR="0060125D">
        <w:t xml:space="preserve"> of </w:t>
      </w:r>
      <w:r w:rsidR="00461CDE">
        <w:t xml:space="preserve">the </w:t>
      </w:r>
      <w:r w:rsidR="0060125D">
        <w:t>a</w:t>
      </w:r>
      <w:r w:rsidR="009161D4">
        <w:t>dult</w:t>
      </w:r>
      <w:r w:rsidR="00461CDE">
        <w:t xml:space="preserve"> population</w:t>
      </w:r>
      <w:r w:rsidR="009161D4">
        <w:t xml:space="preserve"> </w:t>
      </w:r>
      <w:r w:rsidR="00461CDE">
        <w:t>lacks a</w:t>
      </w:r>
      <w:r w:rsidR="009161D4">
        <w:t xml:space="preserve"> high school </w:t>
      </w:r>
      <w:r w:rsidR="00461CDE">
        <w:t xml:space="preserve">diploma </w:t>
      </w:r>
      <w:r w:rsidR="009161D4">
        <w:t xml:space="preserve">or an equivalent. </w:t>
      </w:r>
    </w:p>
    <w:p w:rsidR="000E2FDB" w:rsidRDefault="000E2FDB" w:rsidP="0018159B">
      <w:r>
        <w:t xml:space="preserve">Technology is gaining on Fishing-related employment, the city’s historic economic base. Education, Healthcare, and Social Assistance is the largest sector of employment at roughly 25%. Manufacturing, led by Technology and including Food Processing, employs about a quarter of the labor force and accounts for about half the city’s total household income. The balance of local jobs is in Food and Beverage </w:t>
      </w:r>
      <w:r w:rsidR="000D616B">
        <w:t>and Tourism-related businesses.</w:t>
      </w:r>
      <w:r>
        <w:t xml:space="preserve"> Many of these are low-paying, part-time or seasonal. About a quarter of the labor force commutes more than thirty minutes each way to work, twice </w:t>
      </w:r>
      <w:r w:rsidR="000D616B">
        <w:t>the number of a generation ago.</w:t>
      </w:r>
      <w:r>
        <w:t xml:space="preserve"> There has been an influx of sophisticated businesses and individuals working from home that rely on high-speed</w:t>
      </w:r>
      <w:r w:rsidR="004075A2">
        <w:t xml:space="preserve"> </w:t>
      </w:r>
      <w:r w:rsidR="00461CDE">
        <w:t>broadband</w:t>
      </w:r>
      <w:r>
        <w:t xml:space="preserve"> access. This</w:t>
      </w:r>
      <w:r w:rsidR="001226D1">
        <w:t xml:space="preserve"> trend has</w:t>
      </w:r>
      <w:r>
        <w:t xml:space="preserve"> been the impetus for the </w:t>
      </w:r>
      <w:proofErr w:type="spellStart"/>
      <w:r>
        <w:t>CoWork</w:t>
      </w:r>
      <w:proofErr w:type="spellEnd"/>
      <w:r>
        <w:t xml:space="preserve"> Gloucester initiative. </w:t>
      </w:r>
    </w:p>
    <w:p w:rsidR="00495A82" w:rsidRDefault="00495A82" w:rsidP="0018159B">
      <w:r>
        <w:t>The educational needs of residents</w:t>
      </w:r>
      <w:r w:rsidR="000E2FDB">
        <w:t xml:space="preserve"> include access to good public schools, development of life literacies: English language – reading and writing, computational, financial, heath, and technology, opportunities for vocational skill training and retooling, and </w:t>
      </w:r>
      <w:r w:rsidR="00865A91">
        <w:t>support</w:t>
      </w:r>
      <w:r w:rsidR="001226D1">
        <w:t xml:space="preserve"> for</w:t>
      </w:r>
      <w:r w:rsidR="00865A91">
        <w:t xml:space="preserve"> </w:t>
      </w:r>
      <w:r w:rsidR="000E2FDB">
        <w:t>life-long, participatory learning activities.</w:t>
      </w:r>
    </w:p>
    <w:p w:rsidR="00461CDE" w:rsidRDefault="00461CDE" w:rsidP="0018159B">
      <w:r>
        <w:t>Community resiliency and well</w:t>
      </w:r>
      <w:r w:rsidR="000D616B">
        <w:t xml:space="preserve">ness are on the minds of many. </w:t>
      </w:r>
      <w:r>
        <w:t>There is particular concern about the impact of the opioid crisis on individuals, families, and the community.</w:t>
      </w:r>
      <w:r w:rsidR="001226D1">
        <w:t xml:space="preserve"> The bottom line is the people of Gloucester care about each other and rally around those in need.</w:t>
      </w:r>
    </w:p>
    <w:p w:rsidR="004E25AA" w:rsidRDefault="004E25AA" w:rsidP="00C74B75">
      <w:r>
        <w:t>The region and the City have some very successful, stand-out community organizations that are making a difference</w:t>
      </w:r>
      <w:r w:rsidR="00682375">
        <w:t xml:space="preserve"> by</w:t>
      </w:r>
      <w:r>
        <w:t xml:space="preserve"> addressing some of the region</w:t>
      </w:r>
      <w:r w:rsidR="0050656F">
        <w:t>’</w:t>
      </w:r>
      <w:r>
        <w:t>s most serious</w:t>
      </w:r>
      <w:r w:rsidR="003D05D5">
        <w:t xml:space="preserve"> needs: food </w:t>
      </w:r>
      <w:r>
        <w:t xml:space="preserve">security, </w:t>
      </w:r>
      <w:r w:rsidR="003D05D5">
        <w:t xml:space="preserve">affordable </w:t>
      </w:r>
      <w:r>
        <w:t>childcare, educational support</w:t>
      </w:r>
      <w:r w:rsidR="0050656F">
        <w:t xml:space="preserve">, </w:t>
      </w:r>
      <w:r w:rsidR="003D05D5">
        <w:t xml:space="preserve">economic and </w:t>
      </w:r>
      <w:r w:rsidR="0050656F">
        <w:t>workforce development</w:t>
      </w:r>
      <w:r w:rsidR="003D05D5">
        <w:t>,</w:t>
      </w:r>
      <w:r w:rsidR="001226D1">
        <w:t xml:space="preserve"> and affordable h</w:t>
      </w:r>
      <w:r w:rsidR="003D05D5">
        <w:t>ousing</w:t>
      </w:r>
      <w:r w:rsidR="0050656F">
        <w:t xml:space="preserve">. </w:t>
      </w:r>
    </w:p>
    <w:p w:rsidR="00461CDE" w:rsidRDefault="00461CDE" w:rsidP="00C74B75">
      <w:r>
        <w:t>Important to the entire</w:t>
      </w:r>
      <w:r w:rsidR="000D616B">
        <w:t xml:space="preserve"> community is the environment. </w:t>
      </w:r>
      <w:r>
        <w:t>People want to enjoy, sustain, preserve and protect the natural assets of the green spaces, beaches, and</w:t>
      </w:r>
      <w:r w:rsidR="001226D1">
        <w:t xml:space="preserve"> </w:t>
      </w:r>
      <w:r>
        <w:t>harbor. They are interested in becoming better stewards of these resources.</w:t>
      </w:r>
    </w:p>
    <w:p w:rsidR="00BB62F4" w:rsidRDefault="004E25AA" w:rsidP="0052159D">
      <w:pPr>
        <w:rPr>
          <w:b/>
        </w:rPr>
      </w:pPr>
      <w:r>
        <w:t xml:space="preserve">The arts and culture scene is very strong with </w:t>
      </w:r>
      <w:r w:rsidR="00682375">
        <w:t>museums, an active theatre and arts colony,</w:t>
      </w:r>
      <w:r w:rsidR="0050656F">
        <w:t xml:space="preserve"> </w:t>
      </w:r>
      <w:r>
        <w:t xml:space="preserve">and </w:t>
      </w:r>
      <w:r w:rsidR="00E964D3">
        <w:t>two</w:t>
      </w:r>
      <w:r>
        <w:t xml:space="preserve"> state-design</w:t>
      </w:r>
      <w:r w:rsidR="0050656F">
        <w:t>ated cultural district</w:t>
      </w:r>
      <w:r>
        <w:t>s</w:t>
      </w:r>
      <w:r w:rsidR="0050656F">
        <w:t xml:space="preserve">. The possibilities for expanding the positive creative economy are many with </w:t>
      </w:r>
      <w:proofErr w:type="spellStart"/>
      <w:r w:rsidR="0050656F">
        <w:t>placemaking</w:t>
      </w:r>
      <w:proofErr w:type="spellEnd"/>
      <w:r w:rsidR="0050656F">
        <w:t xml:space="preserve">, affordable live / work space for artists, </w:t>
      </w:r>
      <w:r w:rsidR="00E964D3">
        <w:t xml:space="preserve">and </w:t>
      </w:r>
      <w:r w:rsidR="0050656F">
        <w:t>preservation and celebration of local history and archives.</w:t>
      </w:r>
      <w:r w:rsidR="00BB62F4">
        <w:rPr>
          <w:b/>
        </w:rPr>
        <w:br w:type="page"/>
      </w:r>
    </w:p>
    <w:p w:rsidR="00F27650" w:rsidRDefault="00F27650" w:rsidP="00F27650">
      <w:pPr>
        <w:rPr>
          <w:b/>
        </w:rPr>
      </w:pPr>
      <w:r>
        <w:rPr>
          <w:b/>
        </w:rPr>
        <w:lastRenderedPageBreak/>
        <w:t>Changing Roles of Public Libraries and Librarians:</w:t>
      </w:r>
    </w:p>
    <w:p w:rsidR="0017673D" w:rsidRPr="00017E7A" w:rsidRDefault="00017E7A" w:rsidP="002453F2">
      <w:r>
        <w:t>Most people think about the library as a quiet place with books</w:t>
      </w:r>
      <w:r w:rsidR="00846A41">
        <w:t>,</w:t>
      </w:r>
      <w:r w:rsidR="000D616B">
        <w:t xml:space="preserve"> a nice-to-have amenity. </w:t>
      </w:r>
      <w:r>
        <w:t>They assume the library will always be there for those who want to use it. But</w:t>
      </w:r>
      <w:r w:rsidR="00927D02">
        <w:t xml:space="preserve"> more is required and should </w:t>
      </w:r>
      <w:r w:rsidR="000D616B">
        <w:t xml:space="preserve">be expected for the community. </w:t>
      </w:r>
      <w:r w:rsidR="00927D02">
        <w:t>T</w:t>
      </w:r>
      <w:r>
        <w:t>he value of the library in the 21</w:t>
      </w:r>
      <w:r w:rsidRPr="00017E7A">
        <w:rPr>
          <w:vertAlign w:val="superscript"/>
        </w:rPr>
        <w:t>st</w:t>
      </w:r>
      <w:r>
        <w:t xml:space="preserve"> century is in its assets</w:t>
      </w:r>
      <w:r w:rsidR="00DC4A68" w:rsidRPr="00017E7A">
        <w:t xml:space="preserve"> – people, place, and platform</w:t>
      </w:r>
      <w:r>
        <w:t xml:space="preserve">. Each is </w:t>
      </w:r>
      <w:r w:rsidR="00DC4A68" w:rsidRPr="00017E7A">
        <w:t>essential to identifying and meeting the community’s needs</w:t>
      </w:r>
      <w:r>
        <w:t>.</w:t>
      </w:r>
    </w:p>
    <w:p w:rsidR="001906B4" w:rsidRDefault="00487876" w:rsidP="00487876">
      <w:pPr>
        <w:pStyle w:val="ListParagraph"/>
        <w:numPr>
          <w:ilvl w:val="0"/>
          <w:numId w:val="19"/>
        </w:numPr>
      </w:pPr>
      <w:r>
        <w:t>Library as people – l</w:t>
      </w:r>
      <w:r w:rsidR="001906B4">
        <w:t>ibrarians</w:t>
      </w:r>
      <w:r>
        <w:t xml:space="preserve"> are</w:t>
      </w:r>
      <w:r w:rsidR="001906B4">
        <w:t xml:space="preserve"> members of the community</w:t>
      </w:r>
      <w:r>
        <w:t xml:space="preserve"> who help identify and solve community problems by o</w:t>
      </w:r>
      <w:r w:rsidR="001906B4">
        <w:t>ffer</w:t>
      </w:r>
      <w:r>
        <w:t>ing</w:t>
      </w:r>
      <w:r w:rsidR="001906B4">
        <w:t xml:space="preserve"> services shaped to best meet local needs</w:t>
      </w:r>
      <w:r w:rsidR="003A7926">
        <w:t>.</w:t>
      </w:r>
    </w:p>
    <w:p w:rsidR="00682375" w:rsidRDefault="00682375" w:rsidP="003A7926">
      <w:pPr>
        <w:pStyle w:val="ListParagraph"/>
        <w:numPr>
          <w:ilvl w:val="0"/>
          <w:numId w:val="19"/>
        </w:numPr>
        <w:spacing w:after="0"/>
      </w:pPr>
      <w:r>
        <w:t xml:space="preserve">Library as place – where the community </w:t>
      </w:r>
      <w:r w:rsidR="003A7926">
        <w:t>works, meets, shares and creates; all f</w:t>
      </w:r>
      <w:r w:rsidRPr="007660CF">
        <w:t>unction</w:t>
      </w:r>
      <w:r w:rsidR="003A7926">
        <w:t>s transcend</w:t>
      </w:r>
      <w:r w:rsidRPr="007660CF">
        <w:t xml:space="preserve"> the boundaries of the</w:t>
      </w:r>
      <w:r w:rsidR="003A7926">
        <w:t xml:space="preserve"> building’s</w:t>
      </w:r>
      <w:r w:rsidRPr="007660CF">
        <w:t xml:space="preserve"> walls</w:t>
      </w:r>
      <w:r w:rsidR="003A7926">
        <w:t>.</w:t>
      </w:r>
    </w:p>
    <w:p w:rsidR="00B643E6" w:rsidRDefault="00B643E6" w:rsidP="00B643E6">
      <w:pPr>
        <w:pStyle w:val="ListParagraph"/>
        <w:numPr>
          <w:ilvl w:val="0"/>
          <w:numId w:val="19"/>
        </w:numPr>
      </w:pPr>
      <w:r>
        <w:t xml:space="preserve">Library as platform </w:t>
      </w:r>
      <w:r w:rsidR="000D616B">
        <w:t>–</w:t>
      </w:r>
      <w:r>
        <w:t xml:space="preserve"> central</w:t>
      </w:r>
      <w:r w:rsidR="000D616B">
        <w:t xml:space="preserve"> </w:t>
      </w:r>
      <w:r>
        <w:t xml:space="preserve">hub for learning, participation, and community connections with a different kind of access structure, distribution </w:t>
      </w:r>
      <w:proofErr w:type="spellStart"/>
      <w:r>
        <w:t>infastructure</w:t>
      </w:r>
      <w:proofErr w:type="spellEnd"/>
      <w:r>
        <w:t>, more sophisticated analytics, and interoperability for scaling and facilitation of innovation</w:t>
      </w:r>
      <w:r w:rsidR="003A7926">
        <w:t xml:space="preserve"> than the library of the 20</w:t>
      </w:r>
      <w:r w:rsidR="003A7926" w:rsidRPr="003A7926">
        <w:rPr>
          <w:vertAlign w:val="superscript"/>
        </w:rPr>
        <w:t>th</w:t>
      </w:r>
      <w:r w:rsidR="003A7926">
        <w:t xml:space="preserve"> century.</w:t>
      </w:r>
    </w:p>
    <w:p w:rsidR="001C1574" w:rsidRDefault="001C1574" w:rsidP="004477F3">
      <w:r>
        <w:t>Librarians are</w:t>
      </w:r>
      <w:r w:rsidRPr="007660CF">
        <w:t xml:space="preserve"> stewards of the community’s resources: expertise, capital, ideas, spaces, software, data, experiences, services, and / or stories</w:t>
      </w:r>
      <w:r w:rsidR="000D616B">
        <w:t xml:space="preserve">. </w:t>
      </w:r>
      <w:r>
        <w:t>They are p</w:t>
      </w:r>
      <w:r w:rsidRPr="007660CF">
        <w:t>artners with the community through proactive, transformative social engagement for learning and knowledge creation</w:t>
      </w:r>
      <w:r w:rsidR="000D616B">
        <w:t xml:space="preserve">. </w:t>
      </w:r>
      <w:r w:rsidR="004477F3">
        <w:t>Librarians work to build human capital, relationships, and knowledge networks in the community.</w:t>
      </w:r>
    </w:p>
    <w:p w:rsidR="00846A41" w:rsidRDefault="00846A41" w:rsidP="004477F3">
      <w:r>
        <w:t>The library provides easy connections to Wi-Fi and high-speed</w:t>
      </w:r>
      <w:r w:rsidR="000D616B">
        <w:t xml:space="preserve"> broadband for mobile devices. </w:t>
      </w:r>
      <w:r>
        <w:t>There are technology-centric spaces for co-working, collaboration, and making, large spaces for children and teens, and meeting and activity rooms of different sizes to accommodate pu</w:t>
      </w:r>
      <w:r w:rsidR="000D616B">
        <w:t xml:space="preserve">blic events and performances. </w:t>
      </w:r>
      <w:r>
        <w:t>There is transparency among spaces.</w:t>
      </w:r>
    </w:p>
    <w:p w:rsidR="00846A41" w:rsidRDefault="00846A41" w:rsidP="00846A41">
      <w:r>
        <w:t>Citizens are engaged in the business of making their personal and civic identities. Communities are being shaped in nontraditional ways by social media, based on mutual interests with networks being the dominant social organization. The library’s collections are more about locally produced knowledge and resources in which the true collection is the community – its talent, expertise, and aspirations.</w:t>
      </w:r>
    </w:p>
    <w:p w:rsidR="00846A41" w:rsidRDefault="00846A41" w:rsidP="00846A41">
      <w:r>
        <w:t>The library Is a k</w:t>
      </w:r>
      <w:r w:rsidRPr="007660CF">
        <w:t>ey partner in sustaining the educational, economic, and civic health of the community during a time of dramatic change</w:t>
      </w:r>
      <w:r>
        <w:t>. Knowledge is no longer stable and employment is transient with sk</w:t>
      </w:r>
      <w:r w:rsidR="000D616B">
        <w:t xml:space="preserve">ills quickly becoming obsolete. </w:t>
      </w:r>
      <w:r>
        <w:t>The library meets the demand for continual renewal and adaptation of skills based on and in response to changing circumstances and amplifies the impact through the community members they empower.</w:t>
      </w:r>
    </w:p>
    <w:p w:rsidR="00BB62F4" w:rsidRDefault="00BB62F4">
      <w:pPr>
        <w:rPr>
          <w:b/>
        </w:rPr>
      </w:pPr>
      <w:r>
        <w:rPr>
          <w:b/>
        </w:rPr>
        <w:br w:type="page"/>
      </w:r>
    </w:p>
    <w:p w:rsidR="00432B8C" w:rsidRPr="00132FB6" w:rsidRDefault="00C74B75">
      <w:pPr>
        <w:rPr>
          <w:b/>
        </w:rPr>
      </w:pPr>
      <w:r w:rsidRPr="00132FB6">
        <w:rPr>
          <w:b/>
        </w:rPr>
        <w:lastRenderedPageBreak/>
        <w:t>Addenda</w:t>
      </w:r>
    </w:p>
    <w:p w:rsidR="00C209D2" w:rsidRDefault="00C209D2" w:rsidP="00C209D2">
      <w:pPr>
        <w:pStyle w:val="ListParagraph"/>
        <w:numPr>
          <w:ilvl w:val="0"/>
          <w:numId w:val="24"/>
        </w:numPr>
      </w:pPr>
      <w:r>
        <w:t>Strategic Plan Contributors</w:t>
      </w:r>
    </w:p>
    <w:p w:rsidR="00C209D2" w:rsidRDefault="00C209D2" w:rsidP="00C209D2">
      <w:pPr>
        <w:pStyle w:val="ListParagraph"/>
      </w:pPr>
    </w:p>
    <w:p w:rsidR="00432B8C" w:rsidRDefault="00C74B75" w:rsidP="00C209D2">
      <w:pPr>
        <w:pStyle w:val="ListParagraph"/>
        <w:numPr>
          <w:ilvl w:val="0"/>
          <w:numId w:val="24"/>
        </w:numPr>
      </w:pPr>
      <w:proofErr w:type="spellStart"/>
      <w:r>
        <w:t>thinkGloucester</w:t>
      </w:r>
      <w:proofErr w:type="spellEnd"/>
      <w:r w:rsidR="001A2D17">
        <w:t xml:space="preserve"> Engagemen</w:t>
      </w:r>
      <w:r>
        <w:t>t Project Report July 2018</w:t>
      </w:r>
    </w:p>
    <w:p w:rsidR="00BD025A" w:rsidRDefault="00BD025A" w:rsidP="00BD025A">
      <w:pPr>
        <w:pStyle w:val="ListParagraph"/>
      </w:pPr>
    </w:p>
    <w:p w:rsidR="00F57F58" w:rsidRDefault="00C74B75" w:rsidP="00F57F58">
      <w:pPr>
        <w:pStyle w:val="ListParagraph"/>
        <w:numPr>
          <w:ilvl w:val="0"/>
          <w:numId w:val="24"/>
        </w:numPr>
      </w:pPr>
      <w:r>
        <w:t>Staff Strategic</w:t>
      </w:r>
      <w:r w:rsidR="00432B8C">
        <w:t xml:space="preserve"> Planning </w:t>
      </w:r>
      <w:r w:rsidR="00973850">
        <w:t>Recommendations</w:t>
      </w:r>
      <w:r w:rsidR="00432B8C">
        <w:t xml:space="preserve"> June 2018</w:t>
      </w:r>
    </w:p>
    <w:p w:rsidR="00F57F58" w:rsidRDefault="00F57F58" w:rsidP="00F57F58">
      <w:pPr>
        <w:pStyle w:val="ListParagraph"/>
      </w:pPr>
    </w:p>
    <w:p w:rsidR="00432B8C" w:rsidRDefault="00C74B75" w:rsidP="00F57F58">
      <w:pPr>
        <w:pStyle w:val="ListParagraph"/>
        <w:numPr>
          <w:ilvl w:val="0"/>
          <w:numId w:val="24"/>
        </w:numPr>
      </w:pPr>
      <w:bookmarkStart w:id="0" w:name="_GoBack"/>
      <w:bookmarkEnd w:id="0"/>
      <w:r>
        <w:t>Library Trends as Related to Gloucester Demographic Trends</w:t>
      </w:r>
      <w:r w:rsidR="00973850">
        <w:t xml:space="preserve"> Summary</w:t>
      </w:r>
    </w:p>
    <w:p w:rsidR="00BD025A" w:rsidRDefault="00BD025A" w:rsidP="00BD025A">
      <w:pPr>
        <w:pStyle w:val="ListParagraph"/>
        <w:ind w:left="1440"/>
      </w:pPr>
    </w:p>
    <w:p w:rsidR="00432B8C" w:rsidRDefault="00C74B75" w:rsidP="00C209D2">
      <w:pPr>
        <w:pStyle w:val="ListParagraph"/>
        <w:numPr>
          <w:ilvl w:val="0"/>
          <w:numId w:val="24"/>
        </w:numPr>
      </w:pPr>
      <w:r>
        <w:t>A Strategic Plan for the Board of Trustees July 2018</w:t>
      </w:r>
    </w:p>
    <w:p w:rsidR="00BD025A" w:rsidRDefault="00BD025A" w:rsidP="00BD025A">
      <w:pPr>
        <w:pStyle w:val="ListParagraph"/>
      </w:pPr>
    </w:p>
    <w:p w:rsidR="00C358DE" w:rsidRDefault="00C358DE" w:rsidP="00C209D2">
      <w:pPr>
        <w:pStyle w:val="ListParagraph"/>
        <w:numPr>
          <w:ilvl w:val="0"/>
          <w:numId w:val="24"/>
        </w:numPr>
      </w:pPr>
      <w:r>
        <w:t>Update on the Strategic Plan FY2014 -  FY2019</w:t>
      </w:r>
    </w:p>
    <w:p w:rsidR="00C358DE" w:rsidRDefault="00C358DE" w:rsidP="00C358DE">
      <w:pPr>
        <w:pStyle w:val="ListParagraph"/>
      </w:pPr>
    </w:p>
    <w:p w:rsidR="00C358DE" w:rsidRDefault="00C358DE" w:rsidP="00C209D2">
      <w:pPr>
        <w:pStyle w:val="ListParagraph"/>
        <w:numPr>
          <w:ilvl w:val="0"/>
          <w:numId w:val="24"/>
        </w:numPr>
      </w:pPr>
      <w:r>
        <w:t>Core Principles and Role</w:t>
      </w:r>
      <w:r w:rsidR="00C209D2">
        <w:t>s of Libraries and Librarians</w:t>
      </w:r>
    </w:p>
    <w:p w:rsidR="00C358DE" w:rsidRDefault="00C358DE" w:rsidP="00C358DE">
      <w:pPr>
        <w:pStyle w:val="ListParagraph"/>
      </w:pPr>
    </w:p>
    <w:p w:rsidR="00BD025A" w:rsidRDefault="00C74B75" w:rsidP="00C209D2">
      <w:pPr>
        <w:pStyle w:val="ListParagraph"/>
        <w:numPr>
          <w:ilvl w:val="0"/>
          <w:numId w:val="24"/>
        </w:numPr>
      </w:pPr>
      <w:r>
        <w:t>Library Building Program February 2016</w:t>
      </w:r>
    </w:p>
    <w:p w:rsidR="00BD025A" w:rsidRDefault="00BD025A" w:rsidP="00BD025A">
      <w:pPr>
        <w:pStyle w:val="ListParagraph"/>
      </w:pPr>
    </w:p>
    <w:p w:rsidR="009B0DE1" w:rsidRDefault="009B0DE1" w:rsidP="009B0DE1">
      <w:pPr>
        <w:pStyle w:val="NoSpacing"/>
        <w:rPr>
          <w:b/>
        </w:rPr>
      </w:pPr>
      <w:r w:rsidRPr="009B0DE1">
        <w:rPr>
          <w:b/>
        </w:rPr>
        <w:t>Sources</w:t>
      </w:r>
    </w:p>
    <w:p w:rsidR="00C358DE" w:rsidRPr="009B0DE1" w:rsidRDefault="00C358DE" w:rsidP="009B0DE1">
      <w:pPr>
        <w:pStyle w:val="NoSpacing"/>
        <w:rPr>
          <w:b/>
        </w:rPr>
      </w:pPr>
    </w:p>
    <w:p w:rsidR="00C358DE" w:rsidRPr="00C358DE" w:rsidRDefault="00C358DE" w:rsidP="009B0DE1">
      <w:r>
        <w:rPr>
          <w:i/>
        </w:rPr>
        <w:t>Impact Essex County: An Overview of Key Trends</w:t>
      </w:r>
      <w:r>
        <w:t>, October 2016</w:t>
      </w:r>
    </w:p>
    <w:p w:rsidR="009B0DE1" w:rsidRDefault="009B0DE1" w:rsidP="009B0DE1">
      <w:r>
        <w:rPr>
          <w:i/>
        </w:rPr>
        <w:t>Expect More: Demanding Better Libraries for Today’s Complex World 2</w:t>
      </w:r>
      <w:r w:rsidRPr="009B0DE1">
        <w:rPr>
          <w:i/>
          <w:vertAlign w:val="superscript"/>
        </w:rPr>
        <w:t>nd</w:t>
      </w:r>
      <w:r>
        <w:rPr>
          <w:i/>
        </w:rPr>
        <w:t xml:space="preserve"> ed., </w:t>
      </w:r>
      <w:r>
        <w:t xml:space="preserve">R. David </w:t>
      </w:r>
      <w:proofErr w:type="spellStart"/>
      <w:r>
        <w:t>Lankes</w:t>
      </w:r>
      <w:proofErr w:type="spellEnd"/>
      <w:r>
        <w:t>, 2016</w:t>
      </w:r>
    </w:p>
    <w:p w:rsidR="009B0DE1" w:rsidRDefault="009B0DE1" w:rsidP="009B0DE1">
      <w:r>
        <w:rPr>
          <w:i/>
        </w:rPr>
        <w:t xml:space="preserve">The New Librarianship Field Guide, </w:t>
      </w:r>
      <w:r>
        <w:t xml:space="preserve">R. David </w:t>
      </w:r>
      <w:proofErr w:type="spellStart"/>
      <w:r>
        <w:t>Lankes</w:t>
      </w:r>
      <w:proofErr w:type="spellEnd"/>
      <w:r>
        <w:t>, 2016</w:t>
      </w:r>
    </w:p>
    <w:p w:rsidR="000D4E87" w:rsidRDefault="000D4E87" w:rsidP="000D4E87">
      <w:r>
        <w:rPr>
          <w:i/>
        </w:rPr>
        <w:t xml:space="preserve">Public Libraries in Massachusetts: An Evolving Ecosystem, </w:t>
      </w:r>
      <w:r>
        <w:t xml:space="preserve">Sasaki, </w:t>
      </w:r>
      <w:r w:rsidR="00B51139">
        <w:t xml:space="preserve">Spring </w:t>
      </w:r>
      <w:r>
        <w:t>2018</w:t>
      </w:r>
    </w:p>
    <w:p w:rsidR="00AF7A7E" w:rsidRDefault="000D4E87" w:rsidP="00C358DE">
      <w:r>
        <w:rPr>
          <w:i/>
        </w:rPr>
        <w:t>Rising to the Challenge:</w:t>
      </w:r>
      <w:r w:rsidRPr="009B0DE1">
        <w:rPr>
          <w:i/>
        </w:rPr>
        <w:t xml:space="preserve"> Re-Envision</w:t>
      </w:r>
      <w:r>
        <w:rPr>
          <w:i/>
        </w:rPr>
        <w:t>ing</w:t>
      </w:r>
      <w:r w:rsidRPr="009B0DE1">
        <w:rPr>
          <w:i/>
        </w:rPr>
        <w:t xml:space="preserve"> Public Librar</w:t>
      </w:r>
      <w:r>
        <w:rPr>
          <w:i/>
        </w:rPr>
        <w:t xml:space="preserve">ies, </w:t>
      </w:r>
      <w:r>
        <w:t>The Aspen Institute, October 2014</w:t>
      </w:r>
    </w:p>
    <w:p w:rsidR="00AF7A7E" w:rsidRPr="00AF7A7E" w:rsidRDefault="00AF7A7E" w:rsidP="00AF7A7E"/>
    <w:p w:rsidR="00AF7A7E" w:rsidRPr="00AF7A7E" w:rsidRDefault="00AF7A7E" w:rsidP="00AF7A7E"/>
    <w:p w:rsidR="00AF7A7E" w:rsidRPr="00AF7A7E" w:rsidRDefault="00AF7A7E" w:rsidP="00AF7A7E"/>
    <w:p w:rsidR="00AF7A7E" w:rsidRPr="00AF7A7E" w:rsidRDefault="00AF7A7E" w:rsidP="00AF7A7E"/>
    <w:p w:rsidR="00AF7A7E" w:rsidRPr="00AF7A7E" w:rsidRDefault="00AF7A7E" w:rsidP="00AF7A7E"/>
    <w:p w:rsidR="00AF7A7E" w:rsidRPr="00AF7A7E" w:rsidRDefault="00AF7A7E" w:rsidP="00AF7A7E"/>
    <w:p w:rsidR="00AF7A7E" w:rsidRPr="00AF7A7E" w:rsidRDefault="00AF7A7E" w:rsidP="00AF7A7E"/>
    <w:p w:rsidR="00AF7A7E" w:rsidRDefault="00AF7A7E" w:rsidP="00AF7A7E"/>
    <w:p w:rsidR="009B0DE1" w:rsidRPr="00AF7A7E" w:rsidRDefault="009B0DE1" w:rsidP="00AF7A7E"/>
    <w:sectPr w:rsidR="009B0DE1" w:rsidRPr="00AF7A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EB" w:rsidRDefault="009B1CEB" w:rsidP="00E13E2E">
      <w:pPr>
        <w:spacing w:after="0" w:line="240" w:lineRule="auto"/>
      </w:pPr>
      <w:r>
        <w:separator/>
      </w:r>
    </w:p>
  </w:endnote>
  <w:endnote w:type="continuationSeparator" w:id="0">
    <w:p w:rsidR="009B1CEB" w:rsidRDefault="009B1CEB" w:rsidP="00E1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477749"/>
      <w:docPartObj>
        <w:docPartGallery w:val="Page Numbers (Bottom of Page)"/>
        <w:docPartUnique/>
      </w:docPartObj>
    </w:sdtPr>
    <w:sdtEndPr>
      <w:rPr>
        <w:color w:val="7F7F7F" w:themeColor="background1" w:themeShade="7F"/>
        <w:spacing w:val="60"/>
      </w:rPr>
    </w:sdtEndPr>
    <w:sdtContent>
      <w:p w:rsidR="00E13E2E" w:rsidRDefault="00E13E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1B1F">
          <w:rPr>
            <w:noProof/>
          </w:rPr>
          <w:t>4</w:t>
        </w:r>
        <w:r>
          <w:rPr>
            <w:noProof/>
          </w:rPr>
          <w:fldChar w:fldCharType="end"/>
        </w:r>
        <w:r>
          <w:t xml:space="preserve"> | </w:t>
        </w:r>
        <w:r>
          <w:rPr>
            <w:color w:val="7F7F7F" w:themeColor="background1" w:themeShade="7F"/>
            <w:spacing w:val="60"/>
          </w:rPr>
          <w:t>Page</w:t>
        </w:r>
      </w:p>
    </w:sdtContent>
  </w:sdt>
  <w:p w:rsidR="00E13E2E" w:rsidRDefault="00E13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EB" w:rsidRDefault="009B1CEB" w:rsidP="00E13E2E">
      <w:pPr>
        <w:spacing w:after="0" w:line="240" w:lineRule="auto"/>
      </w:pPr>
      <w:r>
        <w:separator/>
      </w:r>
    </w:p>
  </w:footnote>
  <w:footnote w:type="continuationSeparator" w:id="0">
    <w:p w:rsidR="009B1CEB" w:rsidRDefault="009B1CEB" w:rsidP="00E13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E81"/>
    <w:multiLevelType w:val="hybridMultilevel"/>
    <w:tmpl w:val="F08827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05FA7"/>
    <w:multiLevelType w:val="hybridMultilevel"/>
    <w:tmpl w:val="A47E2754"/>
    <w:lvl w:ilvl="0" w:tplc="56E4E4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5CF8"/>
    <w:multiLevelType w:val="hybridMultilevel"/>
    <w:tmpl w:val="197E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2AC"/>
    <w:multiLevelType w:val="hybridMultilevel"/>
    <w:tmpl w:val="B26433AC"/>
    <w:lvl w:ilvl="0" w:tplc="56E4E4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20D45"/>
    <w:multiLevelType w:val="hybridMultilevel"/>
    <w:tmpl w:val="A094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5B8"/>
    <w:multiLevelType w:val="multilevel"/>
    <w:tmpl w:val="4028BCE8"/>
    <w:lvl w:ilvl="0">
      <w:numFmt w:val="bullet"/>
      <w:lvlText w:val="–"/>
      <w:lvlJc w:val="left"/>
      <w:pPr>
        <w:ind w:left="2000" w:hanging="180"/>
      </w:pPr>
      <w:rPr>
        <w:rFonts w:ascii="Times New Roman" w:eastAsia="Times New Roman" w:hAnsi="Times New Roman" w:cs="Times New Roman"/>
        <w:sz w:val="24"/>
        <w:szCs w:val="24"/>
      </w:rPr>
    </w:lvl>
    <w:lvl w:ilvl="1">
      <w:numFmt w:val="bullet"/>
      <w:lvlText w:val="•"/>
      <w:lvlJc w:val="left"/>
      <w:pPr>
        <w:ind w:left="2814" w:hanging="180"/>
      </w:pPr>
    </w:lvl>
    <w:lvl w:ilvl="2">
      <w:numFmt w:val="bullet"/>
      <w:lvlText w:val="•"/>
      <w:lvlJc w:val="left"/>
      <w:pPr>
        <w:ind w:left="3628" w:hanging="180"/>
      </w:pPr>
    </w:lvl>
    <w:lvl w:ilvl="3">
      <w:numFmt w:val="bullet"/>
      <w:lvlText w:val="•"/>
      <w:lvlJc w:val="left"/>
      <w:pPr>
        <w:ind w:left="4442" w:hanging="180"/>
      </w:pPr>
    </w:lvl>
    <w:lvl w:ilvl="4">
      <w:numFmt w:val="bullet"/>
      <w:lvlText w:val="•"/>
      <w:lvlJc w:val="left"/>
      <w:pPr>
        <w:ind w:left="5256" w:hanging="180"/>
      </w:pPr>
    </w:lvl>
    <w:lvl w:ilvl="5">
      <w:numFmt w:val="bullet"/>
      <w:lvlText w:val="•"/>
      <w:lvlJc w:val="left"/>
      <w:pPr>
        <w:ind w:left="6070" w:hanging="180"/>
      </w:pPr>
    </w:lvl>
    <w:lvl w:ilvl="6">
      <w:numFmt w:val="bullet"/>
      <w:lvlText w:val="•"/>
      <w:lvlJc w:val="left"/>
      <w:pPr>
        <w:ind w:left="6884" w:hanging="180"/>
      </w:pPr>
    </w:lvl>
    <w:lvl w:ilvl="7">
      <w:numFmt w:val="bullet"/>
      <w:lvlText w:val="•"/>
      <w:lvlJc w:val="left"/>
      <w:pPr>
        <w:ind w:left="7698" w:hanging="180"/>
      </w:pPr>
    </w:lvl>
    <w:lvl w:ilvl="8">
      <w:numFmt w:val="bullet"/>
      <w:lvlText w:val="•"/>
      <w:lvlJc w:val="left"/>
      <w:pPr>
        <w:ind w:left="8512" w:hanging="180"/>
      </w:pPr>
    </w:lvl>
  </w:abstractNum>
  <w:abstractNum w:abstractNumId="6" w15:restartNumberingAfterBreak="0">
    <w:nsid w:val="2B564EAD"/>
    <w:multiLevelType w:val="hybridMultilevel"/>
    <w:tmpl w:val="13FCF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20584"/>
    <w:multiLevelType w:val="hybridMultilevel"/>
    <w:tmpl w:val="9E9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C194D"/>
    <w:multiLevelType w:val="hybridMultilevel"/>
    <w:tmpl w:val="0EF65776"/>
    <w:lvl w:ilvl="0" w:tplc="56E4E4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F1E34"/>
    <w:multiLevelType w:val="hybridMultilevel"/>
    <w:tmpl w:val="2DA47542"/>
    <w:lvl w:ilvl="0" w:tplc="56E4E4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F5ECB"/>
    <w:multiLevelType w:val="hybridMultilevel"/>
    <w:tmpl w:val="943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657AD"/>
    <w:multiLevelType w:val="hybridMultilevel"/>
    <w:tmpl w:val="86F60A9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42737A7D"/>
    <w:multiLevelType w:val="hybridMultilevel"/>
    <w:tmpl w:val="F08827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B7E2A"/>
    <w:multiLevelType w:val="hybridMultilevel"/>
    <w:tmpl w:val="AF806B6E"/>
    <w:lvl w:ilvl="0" w:tplc="0409000F">
      <w:start w:val="1"/>
      <w:numFmt w:val="decimal"/>
      <w:lvlText w:val="%1."/>
      <w:lvlJc w:val="left"/>
      <w:pPr>
        <w:ind w:left="720" w:hanging="360"/>
      </w:pPr>
    </w:lvl>
    <w:lvl w:ilvl="1" w:tplc="56E4E4C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3467B"/>
    <w:multiLevelType w:val="hybridMultilevel"/>
    <w:tmpl w:val="56324546"/>
    <w:lvl w:ilvl="0" w:tplc="56E4E4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1592B"/>
    <w:multiLevelType w:val="hybridMultilevel"/>
    <w:tmpl w:val="D7EAA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05B72"/>
    <w:multiLevelType w:val="hybridMultilevel"/>
    <w:tmpl w:val="FB520E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E1E04"/>
    <w:multiLevelType w:val="hybridMultilevel"/>
    <w:tmpl w:val="6068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50780"/>
    <w:multiLevelType w:val="hybridMultilevel"/>
    <w:tmpl w:val="CB2A933E"/>
    <w:lvl w:ilvl="0" w:tplc="56E4E4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B1EF0"/>
    <w:multiLevelType w:val="multilevel"/>
    <w:tmpl w:val="37D2F276"/>
    <w:lvl w:ilvl="0">
      <w:numFmt w:val="bullet"/>
      <w:lvlText w:val="–"/>
      <w:lvlJc w:val="left"/>
      <w:pPr>
        <w:ind w:left="2180" w:hanging="180"/>
      </w:pPr>
      <w:rPr>
        <w:rFonts w:ascii="Times New Roman" w:eastAsia="Times New Roman" w:hAnsi="Times New Roman" w:cs="Times New Roman"/>
        <w:b/>
        <w:sz w:val="24"/>
        <w:szCs w:val="24"/>
      </w:rPr>
    </w:lvl>
    <w:lvl w:ilvl="1">
      <w:numFmt w:val="bullet"/>
      <w:lvlText w:val="•"/>
      <w:lvlJc w:val="left"/>
      <w:pPr>
        <w:ind w:left="2976" w:hanging="180"/>
      </w:pPr>
    </w:lvl>
    <w:lvl w:ilvl="2">
      <w:numFmt w:val="bullet"/>
      <w:lvlText w:val="•"/>
      <w:lvlJc w:val="left"/>
      <w:pPr>
        <w:ind w:left="3772" w:hanging="180"/>
      </w:pPr>
    </w:lvl>
    <w:lvl w:ilvl="3">
      <w:numFmt w:val="bullet"/>
      <w:lvlText w:val="•"/>
      <w:lvlJc w:val="left"/>
      <w:pPr>
        <w:ind w:left="4568" w:hanging="180"/>
      </w:pPr>
    </w:lvl>
    <w:lvl w:ilvl="4">
      <w:numFmt w:val="bullet"/>
      <w:lvlText w:val="•"/>
      <w:lvlJc w:val="left"/>
      <w:pPr>
        <w:ind w:left="5364" w:hanging="180"/>
      </w:pPr>
    </w:lvl>
    <w:lvl w:ilvl="5">
      <w:numFmt w:val="bullet"/>
      <w:lvlText w:val="•"/>
      <w:lvlJc w:val="left"/>
      <w:pPr>
        <w:ind w:left="6160" w:hanging="180"/>
      </w:pPr>
    </w:lvl>
    <w:lvl w:ilvl="6">
      <w:numFmt w:val="bullet"/>
      <w:lvlText w:val="•"/>
      <w:lvlJc w:val="left"/>
      <w:pPr>
        <w:ind w:left="6956" w:hanging="180"/>
      </w:pPr>
    </w:lvl>
    <w:lvl w:ilvl="7">
      <w:numFmt w:val="bullet"/>
      <w:lvlText w:val="•"/>
      <w:lvlJc w:val="left"/>
      <w:pPr>
        <w:ind w:left="7752" w:hanging="180"/>
      </w:pPr>
    </w:lvl>
    <w:lvl w:ilvl="8">
      <w:numFmt w:val="bullet"/>
      <w:lvlText w:val="•"/>
      <w:lvlJc w:val="left"/>
      <w:pPr>
        <w:ind w:left="8548" w:hanging="180"/>
      </w:pPr>
    </w:lvl>
  </w:abstractNum>
  <w:abstractNum w:abstractNumId="20" w15:restartNumberingAfterBreak="0">
    <w:nsid w:val="5C2F39EE"/>
    <w:multiLevelType w:val="hybridMultilevel"/>
    <w:tmpl w:val="2D8C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522A9"/>
    <w:multiLevelType w:val="hybridMultilevel"/>
    <w:tmpl w:val="DC86B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E4517"/>
    <w:multiLevelType w:val="hybridMultilevel"/>
    <w:tmpl w:val="75BC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056AA"/>
    <w:multiLevelType w:val="hybridMultilevel"/>
    <w:tmpl w:val="20D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A395C"/>
    <w:multiLevelType w:val="hybridMultilevel"/>
    <w:tmpl w:val="81949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3"/>
  </w:num>
  <w:num w:numId="5">
    <w:abstractNumId w:val="18"/>
  </w:num>
  <w:num w:numId="6">
    <w:abstractNumId w:val="19"/>
  </w:num>
  <w:num w:numId="7">
    <w:abstractNumId w:val="5"/>
  </w:num>
  <w:num w:numId="8">
    <w:abstractNumId w:val="14"/>
  </w:num>
  <w:num w:numId="9">
    <w:abstractNumId w:val="9"/>
  </w:num>
  <w:num w:numId="10">
    <w:abstractNumId w:val="8"/>
  </w:num>
  <w:num w:numId="11">
    <w:abstractNumId w:val="10"/>
  </w:num>
  <w:num w:numId="12">
    <w:abstractNumId w:val="20"/>
  </w:num>
  <w:num w:numId="13">
    <w:abstractNumId w:val="23"/>
  </w:num>
  <w:num w:numId="14">
    <w:abstractNumId w:val="24"/>
  </w:num>
  <w:num w:numId="15">
    <w:abstractNumId w:val="21"/>
  </w:num>
  <w:num w:numId="16">
    <w:abstractNumId w:val="15"/>
  </w:num>
  <w:num w:numId="17">
    <w:abstractNumId w:val="11"/>
  </w:num>
  <w:num w:numId="18">
    <w:abstractNumId w:val="4"/>
  </w:num>
  <w:num w:numId="19">
    <w:abstractNumId w:val="22"/>
  </w:num>
  <w:num w:numId="20">
    <w:abstractNumId w:val="7"/>
  </w:num>
  <w:num w:numId="21">
    <w:abstractNumId w:val="6"/>
  </w:num>
  <w:num w:numId="22">
    <w:abstractNumId w:val="2"/>
  </w:num>
  <w:num w:numId="23">
    <w:abstractNumId w:val="17"/>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75"/>
    <w:rsid w:val="0001379D"/>
    <w:rsid w:val="00017E7A"/>
    <w:rsid w:val="00027C3B"/>
    <w:rsid w:val="000B75BC"/>
    <w:rsid w:val="000C1656"/>
    <w:rsid w:val="000D4E87"/>
    <w:rsid w:val="000D616B"/>
    <w:rsid w:val="000E2FDB"/>
    <w:rsid w:val="001226D1"/>
    <w:rsid w:val="00132FB6"/>
    <w:rsid w:val="00164984"/>
    <w:rsid w:val="0017673D"/>
    <w:rsid w:val="0018159B"/>
    <w:rsid w:val="00182011"/>
    <w:rsid w:val="00186CDD"/>
    <w:rsid w:val="001906B4"/>
    <w:rsid w:val="001A2D17"/>
    <w:rsid w:val="001B5970"/>
    <w:rsid w:val="001C1574"/>
    <w:rsid w:val="001F4182"/>
    <w:rsid w:val="002453F2"/>
    <w:rsid w:val="00285DD0"/>
    <w:rsid w:val="003368A9"/>
    <w:rsid w:val="003450FA"/>
    <w:rsid w:val="00374489"/>
    <w:rsid w:val="00387489"/>
    <w:rsid w:val="003A7926"/>
    <w:rsid w:val="003D05D5"/>
    <w:rsid w:val="00406E30"/>
    <w:rsid w:val="004075A2"/>
    <w:rsid w:val="00432B8C"/>
    <w:rsid w:val="004477F3"/>
    <w:rsid w:val="00461CDE"/>
    <w:rsid w:val="00487876"/>
    <w:rsid w:val="00495A82"/>
    <w:rsid w:val="004C3040"/>
    <w:rsid w:val="004E25AA"/>
    <w:rsid w:val="0050656F"/>
    <w:rsid w:val="0052159D"/>
    <w:rsid w:val="005326F1"/>
    <w:rsid w:val="0056770F"/>
    <w:rsid w:val="0060125D"/>
    <w:rsid w:val="00652E9E"/>
    <w:rsid w:val="00682375"/>
    <w:rsid w:val="006E33B6"/>
    <w:rsid w:val="00713110"/>
    <w:rsid w:val="00755824"/>
    <w:rsid w:val="007660CF"/>
    <w:rsid w:val="007B6ECF"/>
    <w:rsid w:val="00815774"/>
    <w:rsid w:val="00846A41"/>
    <w:rsid w:val="00865A91"/>
    <w:rsid w:val="0089586F"/>
    <w:rsid w:val="008E3C58"/>
    <w:rsid w:val="009161D4"/>
    <w:rsid w:val="00927D02"/>
    <w:rsid w:val="00941AAB"/>
    <w:rsid w:val="0096304C"/>
    <w:rsid w:val="00973850"/>
    <w:rsid w:val="009B0DE1"/>
    <w:rsid w:val="009B1CEB"/>
    <w:rsid w:val="009D3936"/>
    <w:rsid w:val="009D4718"/>
    <w:rsid w:val="00AC3A96"/>
    <w:rsid w:val="00AC4BE8"/>
    <w:rsid w:val="00AF3BBA"/>
    <w:rsid w:val="00AF7A7E"/>
    <w:rsid w:val="00B14CD0"/>
    <w:rsid w:val="00B46065"/>
    <w:rsid w:val="00B50D1D"/>
    <w:rsid w:val="00B51139"/>
    <w:rsid w:val="00B643E6"/>
    <w:rsid w:val="00BB62F4"/>
    <w:rsid w:val="00BD025A"/>
    <w:rsid w:val="00BD21C7"/>
    <w:rsid w:val="00BE1621"/>
    <w:rsid w:val="00BE3FFA"/>
    <w:rsid w:val="00C02A85"/>
    <w:rsid w:val="00C209D2"/>
    <w:rsid w:val="00C23AB8"/>
    <w:rsid w:val="00C358DE"/>
    <w:rsid w:val="00C74B75"/>
    <w:rsid w:val="00C753B0"/>
    <w:rsid w:val="00D113C9"/>
    <w:rsid w:val="00D53949"/>
    <w:rsid w:val="00D5763B"/>
    <w:rsid w:val="00D61172"/>
    <w:rsid w:val="00DC1B1F"/>
    <w:rsid w:val="00DC4A68"/>
    <w:rsid w:val="00DE21D3"/>
    <w:rsid w:val="00E13E2E"/>
    <w:rsid w:val="00E964D3"/>
    <w:rsid w:val="00E96544"/>
    <w:rsid w:val="00F07961"/>
    <w:rsid w:val="00F27650"/>
    <w:rsid w:val="00F46A25"/>
    <w:rsid w:val="00F57F58"/>
    <w:rsid w:val="00F92C2D"/>
    <w:rsid w:val="00FA0AF5"/>
    <w:rsid w:val="00FC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4790"/>
  <w15:chartTrackingRefBased/>
  <w15:docId w15:val="{9F4366CE-4E39-4DFA-B0BC-E430F5F1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8C"/>
    <w:pPr>
      <w:ind w:left="720"/>
      <w:contextualSpacing/>
    </w:pPr>
  </w:style>
  <w:style w:type="paragraph" w:styleId="NoSpacing">
    <w:name w:val="No Spacing"/>
    <w:uiPriority w:val="1"/>
    <w:qFormat/>
    <w:rsid w:val="0001379D"/>
    <w:pPr>
      <w:spacing w:after="0" w:line="240" w:lineRule="auto"/>
    </w:pPr>
  </w:style>
  <w:style w:type="table" w:styleId="TableGrid">
    <w:name w:val="Table Grid"/>
    <w:basedOn w:val="TableNormal"/>
    <w:uiPriority w:val="39"/>
    <w:rsid w:val="0001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5824"/>
    <w:rPr>
      <w:rFonts w:ascii="Times New Roman" w:hAnsi="Times New Roman" w:cs="Times New Roman"/>
      <w:sz w:val="24"/>
      <w:szCs w:val="24"/>
    </w:rPr>
  </w:style>
  <w:style w:type="paragraph" w:styleId="Header">
    <w:name w:val="header"/>
    <w:basedOn w:val="Normal"/>
    <w:link w:val="HeaderChar"/>
    <w:uiPriority w:val="99"/>
    <w:unhideWhenUsed/>
    <w:rsid w:val="009B0DE1"/>
    <w:pPr>
      <w:tabs>
        <w:tab w:val="center" w:pos="4680"/>
        <w:tab w:val="right" w:pos="9360"/>
      </w:tabs>
      <w:spacing w:after="0" w:line="240" w:lineRule="auto"/>
      <w:contextualSpacing/>
    </w:pPr>
    <w:rPr>
      <w:rFonts w:ascii="Times New Roman" w:eastAsia="Arial" w:hAnsi="Times New Roman" w:cs="Arial"/>
      <w:sz w:val="24"/>
      <w:lang w:val="en"/>
    </w:rPr>
  </w:style>
  <w:style w:type="character" w:customStyle="1" w:styleId="HeaderChar">
    <w:name w:val="Header Char"/>
    <w:basedOn w:val="DefaultParagraphFont"/>
    <w:link w:val="Header"/>
    <w:uiPriority w:val="99"/>
    <w:rsid w:val="009B0DE1"/>
    <w:rPr>
      <w:rFonts w:ascii="Times New Roman" w:eastAsia="Arial" w:hAnsi="Times New Roman" w:cs="Arial"/>
      <w:sz w:val="24"/>
      <w:lang w:val="en"/>
    </w:rPr>
  </w:style>
  <w:style w:type="paragraph" w:styleId="Footer">
    <w:name w:val="footer"/>
    <w:basedOn w:val="Normal"/>
    <w:link w:val="FooterChar"/>
    <w:uiPriority w:val="99"/>
    <w:unhideWhenUsed/>
    <w:rsid w:val="00E13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2E"/>
  </w:style>
  <w:style w:type="character" w:customStyle="1" w:styleId="gi">
    <w:name w:val="gi"/>
    <w:basedOn w:val="DefaultParagraphFont"/>
    <w:rsid w:val="00E13E2E"/>
  </w:style>
  <w:style w:type="paragraph" w:styleId="BalloonText">
    <w:name w:val="Balloon Text"/>
    <w:basedOn w:val="Normal"/>
    <w:link w:val="BalloonTextChar"/>
    <w:uiPriority w:val="99"/>
    <w:semiHidden/>
    <w:unhideWhenUsed/>
    <w:rsid w:val="0034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D272-DE1F-4485-9B34-28D81BBC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Kelsey</dc:creator>
  <cp:keywords/>
  <dc:description/>
  <cp:lastModifiedBy>Deborah Kelsey</cp:lastModifiedBy>
  <cp:revision>3</cp:revision>
  <cp:lastPrinted>2018-09-10T11:33:00Z</cp:lastPrinted>
  <dcterms:created xsi:type="dcterms:W3CDTF">2018-09-26T14:41:00Z</dcterms:created>
  <dcterms:modified xsi:type="dcterms:W3CDTF">2018-09-26T15:25:00Z</dcterms:modified>
</cp:coreProperties>
</file>